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Приложение N 9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"Культура Кабардино-Балкарии"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2B0A">
        <w:rPr>
          <w:rFonts w:ascii="Times New Roman" w:hAnsi="Times New Roman" w:cs="Times New Roman"/>
          <w:b/>
          <w:bCs/>
          <w:sz w:val="24"/>
          <w:szCs w:val="24"/>
        </w:rPr>
        <w:t>ПРАВИЛА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2B0A">
        <w:rPr>
          <w:rFonts w:ascii="Times New Roman" w:hAnsi="Times New Roman" w:cs="Times New Roman"/>
          <w:b/>
          <w:bCs/>
          <w:sz w:val="24"/>
          <w:szCs w:val="24"/>
        </w:rPr>
        <w:t>ПРЕДОСТАВЛЕНИЯ И РАСПРЕДЕЛЕНИЯ СУБСИДИЙ ИЗ РЕСПУБЛИКАНСКОГО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2B0A">
        <w:rPr>
          <w:rFonts w:ascii="Times New Roman" w:hAnsi="Times New Roman" w:cs="Times New Roman"/>
          <w:b/>
          <w:bCs/>
          <w:sz w:val="24"/>
          <w:szCs w:val="24"/>
        </w:rPr>
        <w:t>БЮДЖЕТА КАБАРДИНО-БАЛКАРСКОЙ РЕСПУБЛИКИ МЕСТНЫМ БЮДЖЕТАМ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2B0A">
        <w:rPr>
          <w:rFonts w:ascii="Times New Roman" w:hAnsi="Times New Roman" w:cs="Times New Roman"/>
          <w:b/>
          <w:bCs/>
          <w:sz w:val="24"/>
          <w:szCs w:val="24"/>
        </w:rPr>
        <w:t>НА ПОДДЕРЖКУ ОТРАСЛИ КУЛЬТУРЫ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011F15" w:rsidRPr="00ED2B0A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F15" w:rsidRPr="00ED2B0A" w:rsidRDefault="00011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F15" w:rsidRPr="00ED2B0A" w:rsidRDefault="00011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11F15" w:rsidRPr="00ED2B0A" w:rsidRDefault="0001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ED2B0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011F15" w:rsidRPr="00ED2B0A" w:rsidRDefault="0001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ED2B0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Постановлений Правительства КБР от 11.03.2021 </w:t>
            </w:r>
            <w:hyperlink r:id="rId4" w:history="1">
              <w:r w:rsidRPr="00ED2B0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39-ПП</w:t>
              </w:r>
            </w:hyperlink>
            <w:r w:rsidRPr="00ED2B0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:rsidR="00011F15" w:rsidRPr="00ED2B0A" w:rsidRDefault="0001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ED2B0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20.10.2021 </w:t>
            </w:r>
            <w:hyperlink r:id="rId5" w:history="1">
              <w:r w:rsidRPr="00ED2B0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214-ПП</w:t>
              </w:r>
            </w:hyperlink>
            <w:r w:rsidRPr="00ED2B0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21.02.2022 </w:t>
            </w:r>
            <w:hyperlink r:id="rId6" w:history="1">
              <w:r w:rsidRPr="00ED2B0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30-ПП</w:t>
              </w:r>
            </w:hyperlink>
            <w:r w:rsidRPr="00ED2B0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F15" w:rsidRPr="00ED2B0A" w:rsidRDefault="0001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1. Настоящие Правила устанавливают порядок, цели и условия формирования, предоставления и распределения субсидий из республиканского бюджета Кабардино-Балкарской Республики местным бюджетам на поддержку отрасли культуры (далее - субсидии).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2. Понятия, используемые в настоящих Правилах, означают следующее: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абзац утратил силу. - </w:t>
      </w:r>
      <w:hyperlink r:id="rId7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Правительства КБР от 21.02.2022 N 30-ПП;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"специализированный автотранспорт" - передвижные многофункциональные культурные центры (автоклубы) отечественного производства или сборки из комплектующих иностранного производства, произведенные на территории Российской Федерации, которые используются для предоставления нестационарных к</w:t>
      </w:r>
      <w:bookmarkStart w:id="0" w:name="_GoBack"/>
      <w:bookmarkEnd w:id="0"/>
      <w:r w:rsidRPr="00ED2B0A">
        <w:rPr>
          <w:rFonts w:ascii="Times New Roman" w:hAnsi="Times New Roman" w:cs="Times New Roman"/>
          <w:sz w:val="24"/>
          <w:szCs w:val="24"/>
        </w:rPr>
        <w:t>ультурно-досуговых, библиотечных, информационных и выставочных услуг, а также для проведения массовых мероприятий образовательной и досуговой направленности. Минимальный комплект оборудования автоклуба предусматривает сцену-трансформер, звуковое, световое, мультимедийное оборудование и спутниковую антенну.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7"/>
      <w:bookmarkEnd w:id="1"/>
      <w:r w:rsidRPr="00ED2B0A">
        <w:rPr>
          <w:rFonts w:ascii="Times New Roman" w:hAnsi="Times New Roman" w:cs="Times New Roman"/>
          <w:sz w:val="24"/>
          <w:szCs w:val="24"/>
        </w:rPr>
        <w:t xml:space="preserve">3. Субсидии предоставляются в целях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образований, возникающих при реализации мероприятий муниципальных программ, направленных на: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8"/>
      <w:bookmarkEnd w:id="2"/>
      <w:r w:rsidRPr="00ED2B0A">
        <w:rPr>
          <w:rFonts w:ascii="Times New Roman" w:hAnsi="Times New Roman" w:cs="Times New Roman"/>
          <w:sz w:val="24"/>
          <w:szCs w:val="24"/>
        </w:rPr>
        <w:t>а) приобретение в рамках регионального проекта "Культурная среда" для детских школ искусств по видам искусств, находящихся в ведении органов местного самоуправления (далее - детская школа искусств), по следующим направлениям: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музыкальных инструментов преимущественно отечественного производства или сборки из комплектующих иностранного производства, произведенной на территории Российской Федерации, включая их доставку и погрузочно-разгрузочные работы;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оборудования преимущественно отечественного производства или сборки из комплектующих иностранного производства, произведенного на территории Российской Федерации, включая доставку, погрузочно-разгрузочные работы, монтаж, демонтаж (для учебных аудиторий, библиотек, залов) и выставочное оборудование, в том числе мультимедийное оборудование с соответствующим программным обеспечением (далее - оборудование);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материалов (учебники, учебные пособия, в том числе электронные издания, наглядные пособия и материалы, натюрмортный фонд, художественные альбомы, нотные издания, в том числе нотный педагогический репертуар для детских школ искусств, клавиры, партитуры и хрестоматии);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22"/>
      <w:bookmarkEnd w:id="3"/>
      <w:r w:rsidRPr="00ED2B0A">
        <w:rPr>
          <w:rFonts w:ascii="Times New Roman" w:hAnsi="Times New Roman" w:cs="Times New Roman"/>
          <w:sz w:val="24"/>
          <w:szCs w:val="24"/>
        </w:rPr>
        <w:t>б) государственную поддержку лучших работников сельских учреждений культуры в рамках регионального проекта "Творческие люди";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23"/>
      <w:bookmarkEnd w:id="4"/>
      <w:r w:rsidRPr="00ED2B0A">
        <w:rPr>
          <w:rFonts w:ascii="Times New Roman" w:hAnsi="Times New Roman" w:cs="Times New Roman"/>
          <w:sz w:val="24"/>
          <w:szCs w:val="24"/>
        </w:rPr>
        <w:lastRenderedPageBreak/>
        <w:t>в) государственную поддержку лучших сельских учреждений культуры в рамках регионального проекта "Творческие люди";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24"/>
      <w:bookmarkEnd w:id="5"/>
      <w:r w:rsidRPr="00ED2B0A">
        <w:rPr>
          <w:rFonts w:ascii="Times New Roman" w:hAnsi="Times New Roman" w:cs="Times New Roman"/>
          <w:sz w:val="24"/>
          <w:szCs w:val="24"/>
        </w:rPr>
        <w:t>г) обеспечение учреждений культуры в рамках регионального проекта "Культурная среда" специализированным автотранспортом для обслуживания населения, в том числе сельского населения;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25"/>
      <w:bookmarkEnd w:id="6"/>
      <w:r w:rsidRPr="00ED2B0A">
        <w:rPr>
          <w:rFonts w:ascii="Times New Roman" w:hAnsi="Times New Roman" w:cs="Times New Roman"/>
          <w:sz w:val="24"/>
          <w:szCs w:val="24"/>
        </w:rPr>
        <w:t xml:space="preserve">д) утратил силу. - </w:t>
      </w:r>
      <w:hyperlink r:id="rId8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Правительства КБР от 21.02.2022 N 30-ПП;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26"/>
      <w:bookmarkEnd w:id="7"/>
      <w:r w:rsidRPr="00ED2B0A">
        <w:rPr>
          <w:rFonts w:ascii="Times New Roman" w:hAnsi="Times New Roman" w:cs="Times New Roman"/>
          <w:sz w:val="24"/>
          <w:szCs w:val="24"/>
        </w:rPr>
        <w:t>е) модернизацию региональных и муниципальных детских школ искусств по видам искусств путем их реконструкции и (или) капитального ремонта (далее - модернизация детских школ искусств) в рамках регионального проекта "Культурная среда";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27"/>
      <w:bookmarkEnd w:id="8"/>
      <w:r w:rsidRPr="00ED2B0A">
        <w:rPr>
          <w:rFonts w:ascii="Times New Roman" w:hAnsi="Times New Roman" w:cs="Times New Roman"/>
          <w:sz w:val="24"/>
          <w:szCs w:val="24"/>
        </w:rPr>
        <w:t>ж) модернизацию библиотек в части комплектования книжных фондов библиотек муниципальных библиотек муниципальных образований и государственных общедоступных библиотек Кабардино-Балкарской Республики (далее - комплектование книжных фондов).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. "ж" введен </w:t>
      </w:r>
      <w:hyperlink r:id="rId9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Правительства КБР от 20.10.2021 N 214-ПП)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4. Субсидии предоставляются местным бюджетам в пределах лимитов бюджетных обязательств, доведенных в установленном порядке до Министерства культуры Кабардино-Балкарской Республики как получателя средств республиканского бюджета Кабардино-Балкарской Республики на предоставление субсидии на цели, предусмотренные </w:t>
      </w:r>
      <w:hyperlink w:anchor="Par17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пунктом 3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5. Уровень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образования, в целях финансового обеспечения которого предоставляется субсидия, не может превышать 98 процентов (далее - предельный уровень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из республиканского бюджета Кабардино-Балкарской Республики).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6. Условиями предоставления субсидии муниципальному образованию являются: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а) наличие перечня мероприятий, в целях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которых осуществляется предоставление субсидии, подлежащего утверждению правовыми актами муниципального образования;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б) наличие в местном бюджете бюджетных ассигнований на исполнение расходного обязательства муниципального образования,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которого осуществляется из республиканского бюджета Кабардино-Балкарской Республики, и порядка определения объемов указанных ассигнований;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в) заключение соглашения между Министерством культуры Кабардино-Балкарской Республики и местной администрацией муниципального образования о предоставлении субсидии;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г) возврат муниципальными образованиями средств в республиканский бюджет Кабардино-Балкарской Республики в случае нарушения обязательств, предусмотренных соглашением.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7. Для получения субсидии местная администрация муниципального образования направляет в срок, установленный Министерством культуры Кабардино-Балкарской Республики в Министерство культуры Кабардино-Балкарской Республики заявку на предоставление субсидии с указанием необходимого объема средств, расходного обязательства, на осуществление которого она предоставляется, срока возникновения денежного обязательства муниципального образования.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8. Отбор муниципальных образований для предоставления субсидии в целях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образований, возникающих при реализации мероприятий, указанных: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18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подпунктах "а"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24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"г"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7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"ж" пункта 3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настоящих Правил, осуществляется Министерством культуры Кабардино-Балкарской Республики;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0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Правительства КБР от 20.10.2021 N 214-ПП)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hyperlink w:anchor="Par25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подпунктах "д"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26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"е" пункта 3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настоящих Правил, осуществляется Министерством культуры Российской Федерации в соответствии с </w:t>
      </w:r>
      <w:hyperlink r:id="rId11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предоставления и распределения субсидии из федерального бюджета бюджетам субъектов Российской Федерации на поддержку отрасли культуры, утвержденных постановлением Правительства Российской Федерации от 15 апреля 2014 г. N 317 "Об утверждении государственной программы Российской Федерации "Развитие культуры" (далее - Правила предоставления и распределения субсидии из федерального бюджета бюджетам субъектов Российской Федерации на поддержку отрасли культуры).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41"/>
      <w:bookmarkEnd w:id="9"/>
      <w:r w:rsidRPr="00ED2B0A">
        <w:rPr>
          <w:rFonts w:ascii="Times New Roman" w:hAnsi="Times New Roman" w:cs="Times New Roman"/>
          <w:sz w:val="24"/>
          <w:szCs w:val="24"/>
        </w:rPr>
        <w:t xml:space="preserve">9. Министерством культуры Кабардино-Балкарской Республики на основании заявок, представленных местными администрациями муниципальных образований на получение субсидий в целях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муниципального образования, возникающих при реализации мероприятий, указанных в </w:t>
      </w:r>
      <w:hyperlink w:anchor="Par25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подпунктах "д"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26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"е" пункта 3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настоящих Правил, формируется сводная заявка Кабардино-Балкарской Республики, и направляется в Министерство культуры Российской Федерации для участия в отборе в соответствии с </w:t>
      </w:r>
      <w:hyperlink r:id="rId12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предоставления и распределения субсидии из федерального бюджета бюджетам субъектов Российской Федерации на поддержку отрасли культуры.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10. По результатам отбора, указанного в </w:t>
      </w:r>
      <w:hyperlink w:anchor="Par41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пункте 9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настоящих Правил, приказом Министерства культуры Кабардино-Балкарской Республики утверждается перечень муниципальных образований для предоставления субсидий в целях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на реализацию мероприятий, указанных в </w:t>
      </w:r>
      <w:hyperlink w:anchor="Par25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подпунктах "д"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26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"е" пункта 3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11. Для осуществления отбора муниципальных образований с целью предоставления субсидий в целях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образований, возникающих при реализации мероприятий, указанных в </w:t>
      </w:r>
      <w:hyperlink w:anchor="Par18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подпунктах "а"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24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"г"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7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"ж" пункта 3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настоящих Правил, Министерством культуры Кабардино-Балкарской Республики формируется конкурсная комиссия (далее - Комиссия).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3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Правительства КБР от 20.10.2021 N 214-ПП)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12. Комиссия осуществляет отбор в соответствии с критериями отбора муниципальных образований для предоставления субсидии согласно приложению к настоящим Правилам и протокольным решением утверждает перечень муниципальных образований, прошедших отбор на предоставление субсидий.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13. На основании протокольного решения Комиссии Министерство культуры Кабардино-Балкарской Республики приказом утверждает Перечень муниципальных образований, которым будет предоставлена субсидия в целях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образований, возникающих при реализации мероприятий, указанных в </w:t>
      </w:r>
      <w:hyperlink w:anchor="Par18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подпунктах "а"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24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"г"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7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"ж" пункта 3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4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Правительства КБР от 20.10.2021 N 214-ПП)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14. Распределение субсидий муниципальным образованиям утверждается Правительством Кабардино-Балкарской Республики.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15. Общий размер субсидии, предоставляемой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местному бюджету на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образований, указанных в </w:t>
      </w:r>
      <w:hyperlink w:anchor="Par17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пункте 3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настоящих Правил (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>), определяется по формуле: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V</w:t>
      </w:r>
      <w:r w:rsidRPr="00ED2B0A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= V1 + V2 + V3 + V4 + V6 + V7,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5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Правительства КБР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от 21.02.2022 N 30-ПП)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где: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V1 - расчетный размер бюджетных ассигнований республиканского бюджета Кабардино-Балкарской Республики на предоставление субсидии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местному бюджету на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по приобретению музыкальных инструментов, оборудования и материалов для детских школ искусств;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V2 - расчетный размер бюджетных ассигнований республиканского бюджета Кабардино-Балкарской Республики на предоставление субсидии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местному бюджету на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по оказанию государственной поддержки лучших работников сельских учреждений культуры;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V3 - расчетный размер бюджетных ассигнований республиканского бюджета Кабардино-Балкарской Республики на предоставление субсидии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местному бюджету на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по оказанию государственной поддержки сельских учреждений культуры;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V4 - расчетный размер бюджетных ассигнований республиканского бюджета Кабардино-Балкарской Республики на предоставление субсидии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местному бюджету на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по обеспечению учреждений культуры специализированным автотранспортом для обслуживания населения, в том числе сельского населения;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абзац утратил силу. - </w:t>
      </w:r>
      <w:hyperlink r:id="rId16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Правительства КБР от 21.02.2022 N 30-ПП;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V6 - расчетный размер бюджетных ассигнований республиканского бюджета Кабардино-Балкарской Республики на предоставление субсидии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местному бюджету на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по модернизации детских школ искусств;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V7 - расчетный размер бюджетных ассигнований республиканского бюджета Кабардино-Балкарской Республики на предоставление субсидии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местному бюджету на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образований, возникающих при реализации мероприятий по модернизации библиотек в части комплектования книжных фондов.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17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Правительства КБР от 20.10.2021 N 214-ПП)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16. Расчетный размер бюджетных ассигнований республиканского бюджета Кабардино-Балкарской Республики на предоставление субсидии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местному бюджету на реализацию мероприятий по приобретению музыкальных инструментов, оборудования и материалов для детских школ искусств (V1) определяется по формуле: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203960" cy="449580"/>
            <wp:effectExtent l="0" t="0" r="0" b="762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где: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V1общ - общий размер бюджетных ассигнований, предусмотренный в республиканском бюджете Кабардино-Балкарской Республики на соответствующий финансовый год на реализацию мероприятий по приобретению музыкальных инструментов, оборудования и материалов для детских школ искусств;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K - общая сумма коэффициентов выравнивания потребности муниципальных образований;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коэффициент выравнивания потребности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местного бюджета на реализацию мероприятий по приобретению музыкальных инструментов, оборудования и материалов для детских школ искусств.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17. Коэффициент выравнивания потребности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местного бюджета на реализацию мероприятий по приобретению музыкальных инструментов, оборудования и материалов для детских школ искусств (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noProof/>
          <w:position w:val="-22"/>
          <w:sz w:val="24"/>
          <w:szCs w:val="24"/>
          <w:lang w:eastAsia="ru-RU"/>
        </w:rPr>
        <w:drawing>
          <wp:inline distT="0" distB="0" distL="0" distR="0">
            <wp:extent cx="1836420" cy="42672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где: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Pi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количество обучающихся по дополнительным предпрофессиональным программам в детских школах искусств, расположенных в i-м муниципальном образовании;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P - общее количество обучающихся по дополнительным предпрофессиональным программам в детских школах искусств в муниципальных образованиях, участвующих в распределении;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ПрФБн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предельный уровень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расходного обязательства Кабардино-Балкарской Республики в целях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обязательств, возникающих при реализации национального проекта;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РБi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уровень финансирования расходного обязательства консолидированного бюджета Кабардино-Балкарской Республики.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18. Расчетный размер бюджетных ассигнований республиканского бюджета Кабардино-Балкарской Республики на предоставление субсидии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местному бюджету на реализацию мероприятий по поддержке лучших работников сельских учреждений культуры (V2) определяется по формуле: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V2 =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Nkp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x 50000 + (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ПрФБ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ПрMБi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>),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где: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Nkp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количество денежных поощрений для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мероприятий по поддержке лучших работников сельских учреждений культуры;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50000 - размер денежного поощрения (в рублях) в соответствии с </w:t>
      </w:r>
      <w:hyperlink r:id="rId20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Указом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28 июля 2012 г. N 1062 "О мерах государственной поддержки муниципальных учреждений культуры, находящихся на территориях сельских поселений, и их работников";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ПрФБ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предельный уровень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расходного обязательства Кабардино-Балкарской Республики в целях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обязательств, возникающих при реализации национального проекта;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ПрMБi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предельный уровень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расходного обязательства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местного бюджета.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19. Количество денежных поощрений для Кабардино-Балкарской Республики определяется Министерством культуры Российской Федерации на реализацию мероприятий по поддержке лучших работников сельских учреждений культуры (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Nkp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noProof/>
          <w:position w:val="-26"/>
          <w:sz w:val="24"/>
          <w:szCs w:val="24"/>
          <w:lang w:eastAsia="ru-RU"/>
        </w:rPr>
        <w:drawing>
          <wp:inline distT="0" distB="0" distL="0" distR="0">
            <wp:extent cx="1203960" cy="472440"/>
            <wp:effectExtent l="0" t="0" r="0" b="381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где: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G1 - количество работников сельских учреждений культуры в i-м муниципальном образовании;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1000 - количество денежных поощрений в соответствии с </w:t>
      </w:r>
      <w:hyperlink r:id="rId22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Указом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28 июля 2012 г. N 1062 "О мерах государственной поддержки муниципальных учреждений культуры, находящихся на территориях сельских поселений, и их работников";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S1 - количество работников сельских учреждений культуры в муниципальных образованиях.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20. Расчетный размер бюджетных ассигнований республиканского бюджета Кабардино-Балкарской Республики на предоставление субсидии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местному бюджету на реализацию мероприятий по поддержке лучших сельских учреждений культуры (V3) определяется по формуле: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V3 =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Nk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x 100000 + (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ПрФБ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ПрMБi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>),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где: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Nk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количество денежных поощрений для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мероприятий по поддержке лучших сельских учреждений культуры;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100000 - размер денежного поощрения (в рублях) в соответствии с </w:t>
      </w:r>
      <w:hyperlink r:id="rId23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Указом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28 июля 2012 г. N 1062 "О мерах государственной поддержки муниципальных учреждений культуры, находящихся на территориях сельских поселений, и их работников";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ПрФБ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предельный уровень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расходного обязательства Кабардино-Балкарской Республики в целях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обязательств, возникающих при реализации национального проекта;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ПрMБi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предельный уровень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расходного обязательства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местного бюджета.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21. Количество денежных поощрений для Кабардино-Балкарской Республики определяется Министерством культуры Российской Федерации на реализацию мероприятий по поддержке лучших сельских учреждений культуры (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Nk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noProof/>
          <w:position w:val="-26"/>
          <w:sz w:val="24"/>
          <w:szCs w:val="24"/>
          <w:lang w:eastAsia="ru-RU"/>
        </w:rPr>
        <w:drawing>
          <wp:inline distT="0" distB="0" distL="0" distR="0">
            <wp:extent cx="1173480" cy="472440"/>
            <wp:effectExtent l="0" t="0" r="7620" b="381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где: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G2 - количество сельских учреждений культуры в i-м муниципальном образовании;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1000 - количество денежных поощрений, предусмотренных субъектам Российской Федерации в соответствии с </w:t>
      </w:r>
      <w:hyperlink r:id="rId25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Указом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28 июля 2012 г. N 1062 "О мерах государственной поддержки муниципальных учреждений культуры, находящихся на территориях сельских поселений, и их работников";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S2 - количество сельских учреждений культуры в муниципальных образованиях.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22. Расчетный размер бюджетных ассигнований республиканского бюджета Кабардино-Балкарской Республики на предоставление субсидии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местному бюджету на реализацию мероприятий по обеспечению учреждений культуры специализированным автотранспортом для обслуживания населения, в том числе сельского населения (V4), определяется по формуле: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noProof/>
          <w:position w:val="-22"/>
          <w:sz w:val="24"/>
          <w:szCs w:val="24"/>
          <w:lang w:eastAsia="ru-RU"/>
        </w:rPr>
        <w:drawing>
          <wp:inline distT="0" distB="0" distL="0" distR="0">
            <wp:extent cx="1257300" cy="42672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где: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Kia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коэффициент выравнивания потребности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мероприятия по обеспечению учреждений культуры специализированным автотранспортом для обслуживания населения, в том числе сельского населения;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K - общая сумма коэффициентов выравнивания потребности муниципальных образований;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419100" cy="3048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B0A">
        <w:rPr>
          <w:rFonts w:ascii="Times New Roman" w:hAnsi="Times New Roman" w:cs="Times New Roman"/>
          <w:sz w:val="24"/>
          <w:szCs w:val="24"/>
        </w:rPr>
        <w:t xml:space="preserve"> - общий размер бюджетных ассигнований, предусмотренный в республиканском бюджете Кабардино-Балкарской Республики на соответствующий финансовый год на реализацию мероприятий по развитию учреждений культуры.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23. Коэффициент выравнивания потребности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мероприятия по обеспечению учреждений культуры специализированным автотранспортом для обслуживания населения, в том числе сельского населения (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Kia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>), определяется по формуле: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Kia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ЧiZi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ПрМБiн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Sav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>,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где: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ЧiZi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потребность муниципального образования в соответствии с заявкой муниципального образования на обеспечение учреждений культуры специализированным автотранспортом для обслуживания населения, в том числе сельского населения, с указанием количества специализированного автотранспорта;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ПрМБiн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предельный уровень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в целях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обязательств, возникающих при реализации региональных проектов;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Sav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средняя стоимость специализированного автотранспорта, определенная методом сопоставимых рыночных цен на основании коммерческих предложений о рыночных ценах идентичных товаров, работ и услуг, планируемых к закупкам в соответствии со </w:t>
      </w:r>
      <w:hyperlink r:id="rId28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статьей 22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132"/>
      <w:bookmarkEnd w:id="10"/>
      <w:r w:rsidRPr="00ED2B0A">
        <w:rPr>
          <w:rFonts w:ascii="Times New Roman" w:hAnsi="Times New Roman" w:cs="Times New Roman"/>
          <w:sz w:val="24"/>
          <w:szCs w:val="24"/>
        </w:rPr>
        <w:t xml:space="preserve">24. Утратил силу. - </w:t>
      </w:r>
      <w:hyperlink r:id="rId29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Правительства КБР от 21.02.2022 N 30-ПП.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25. Коэффициент отклонения уровня обеспеченности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учреждениями культурно-досугового типа от среднего уровня по сельской местности в Кабардино-Балкарской Республике (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Кобi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noProof/>
          <w:position w:val="-38"/>
          <w:sz w:val="24"/>
          <w:szCs w:val="24"/>
          <w:lang w:eastAsia="ru-RU"/>
        </w:rPr>
        <w:drawing>
          <wp:inline distT="0" distB="0" distL="0" distR="0">
            <wp:extent cx="1684020" cy="63246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где: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Уобi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уровень обеспеченности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учреждениями культурно-досугового типа;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- уровень обеспеченности учреждениями культурно-досугового типа в сельской местности в среднем по Кабардино-Балкарской Республике.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25-1. Расчетный размер бюджетных ассигнований республиканского бюджета Кабардино-Балкарской Республики на предоставление субсидии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местному бюджету в целях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образований, возникающих при реализации мероприятий по модернизации библиотек в части комплектования книжных фондов (V7) определяется по формуле: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V7 = V7общ x (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Кэкз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Кэкзб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>),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где: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V7 - размер субсидии, предоставляемой бюджету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целях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муниципального образования по модернизации библиотек в части комплектования книжных фондов;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V7общ - общий размер бюджетных ассигнований, предусмотренных в республиканском бюджете Кабардино-Балкарской Республики на соответствующий финансовый год на реализацию мероприятий по модернизации библиотек в части комплектования книжных фондов;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Кэкз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количество экземпляров, необходимых для обновления книжного фонда Кабардино-Балкарской Республики;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Кэкзб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количество экземпляров, необходимых для обновления книжного фонда библиотеки.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Основанием для расчета иных межбюджетных трансфертов на комплектование книжных фондов государственных и муниципальных (общедоступных) библиотек Кабардино-Балкарской Республики является книговыдача (количество книг, выданных библиотекой за год) как основной показатель использования библиотечного фонда и предоставленные бюджетные ассигнования на комплектование книжных фондов библиотек.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При расчете используются данные официальной статистики на основании данных Федеральной службы государственной статистики и форм федерального статистического наблюдения N 6-НК "Сведения об общедоступной (публичной) библиотеке" на последнюю отчетную дату (в связи с эпидемиологической ситуацией в 2020 году, повлиявшей на снижение основных показателей деятельности библиотек, данные для расчета использованы за 2019 год).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Кэкзб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количество экземпляров, необходимых для обновления книжного фонда библиотеки рассчитывается по формуле: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noProof/>
          <w:position w:val="-22"/>
          <w:sz w:val="24"/>
          <w:szCs w:val="24"/>
          <w:lang w:eastAsia="ru-RU"/>
        </w:rPr>
        <w:drawing>
          <wp:inline distT="0" distB="0" distL="0" distR="0">
            <wp:extent cx="1287780" cy="42672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где: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Кэкзб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количество экземпляров, необходимых для обновления книжного фонда библиотеки;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Кн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общее количество книг, выданных за год библиотекой;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3,8 - процент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обновляемости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книжного фонда (рекомендации Российской национальной библиотеки г. Санкт-Петербурга);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Кэкз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количество экземпляров, необходимых для обновления книжного фонда Кабардино-Балкарской Республики, рассчитывается по формуле: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noProof/>
          <w:position w:val="-22"/>
          <w:sz w:val="24"/>
          <w:szCs w:val="24"/>
          <w:lang w:eastAsia="ru-RU"/>
        </w:rPr>
        <w:drawing>
          <wp:inline distT="0" distB="0" distL="0" distR="0">
            <wp:extent cx="1203960" cy="4267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где: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Кэкз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количество экземпляров, необходимых для обновления книжного фонда Кабардино-Балкарской Республики;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Кн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общее количество книг, выданных за год библиотеками Кабардино-Балкарской Республики;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3,8 - процент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обновляемости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книжного фонда (рекомендации Российской национальной библиотеки г. Санкт-Петербурга).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(п. 25-1 введен </w:t>
      </w:r>
      <w:hyperlink r:id="rId33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Правительства КБР от 20.10.2021 N 214-ПП)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26. Уровень обеспеченности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учреждениями культурно-досугового типа (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Уобi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noProof/>
          <w:position w:val="-22"/>
          <w:sz w:val="24"/>
          <w:szCs w:val="24"/>
          <w:lang w:eastAsia="ru-RU"/>
        </w:rPr>
        <w:drawing>
          <wp:inline distT="0" distB="0" distL="0" distR="0">
            <wp:extent cx="1165860" cy="4267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где: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В - количество мест в учреждениях культурно-досугового типа в i-м муниципальном образовании, по данным ведомственной отчетности;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Чi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численность сельского населения в i-м муниципальном образовании, по данным Федеральной службы государственной статистики.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При определении уровня обеспеченности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учреждениями культурно-досугового типа (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Уобi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>) используется показатель, предусматривающий наличие одного учреждения в административном центре сельского поселения и наличие одного учреждения на 1000 человек независимо от количества населенных пунктов в сельском поселении.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27. В случае если уровень обеспеченности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учреждениями культурно-досугового типа в 2 раза и больше среднего по сельской местности в Кабардино-Балкарской Республике уровня обеспеченности учреждениями культурно-досугового типа, в формуле, указанной в </w:t>
      </w:r>
      <w:hyperlink w:anchor="Par132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пункте 24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настоящих Правил, для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применяется наименьшее значение коэффициента отклонения указанного уровня в Кабардино-Балкарской Республике.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28. Отбор осуществляется Министерством культуры Российской Федерации с учетом ранжирования в порядке убывания по коэффициенту потребности муниципальных образований на очередной финансовый год и плановый период (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К</w:t>
      </w:r>
      <w:r w:rsidRPr="00ED2B0A">
        <w:rPr>
          <w:rFonts w:ascii="Times New Roman" w:hAnsi="Times New Roman" w:cs="Times New Roman"/>
          <w:sz w:val="24"/>
          <w:szCs w:val="24"/>
          <w:vertAlign w:val="subscript"/>
        </w:rPr>
        <w:t>iпотр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>) (далее - ранжирование), который определяется по формуле: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К</w:t>
      </w:r>
      <w:r w:rsidRPr="00ED2B0A">
        <w:rPr>
          <w:rFonts w:ascii="Times New Roman" w:hAnsi="Times New Roman" w:cs="Times New Roman"/>
          <w:sz w:val="24"/>
          <w:szCs w:val="24"/>
          <w:vertAlign w:val="subscript"/>
        </w:rPr>
        <w:t>iпотр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K</w:t>
      </w:r>
      <w:r w:rsidRPr="00ED2B0A">
        <w:rPr>
          <w:rFonts w:ascii="Times New Roman" w:hAnsi="Times New Roman" w:cs="Times New Roman"/>
          <w:sz w:val="24"/>
          <w:szCs w:val="24"/>
          <w:vertAlign w:val="subscript"/>
        </w:rPr>
        <w:t>iкp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K</w:t>
      </w:r>
      <w:r w:rsidRPr="00ED2B0A">
        <w:rPr>
          <w:rFonts w:ascii="Times New Roman" w:hAnsi="Times New Roman" w:cs="Times New Roman"/>
          <w:sz w:val="24"/>
          <w:szCs w:val="24"/>
          <w:vertAlign w:val="subscript"/>
        </w:rPr>
        <w:t>iав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>,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где: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i - порядковый номер муниципального образования, заявка которого прошла отбор;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K</w:t>
      </w:r>
      <w:r w:rsidRPr="00ED2B0A">
        <w:rPr>
          <w:rFonts w:ascii="Times New Roman" w:hAnsi="Times New Roman" w:cs="Times New Roman"/>
          <w:sz w:val="24"/>
          <w:szCs w:val="24"/>
          <w:vertAlign w:val="subscript"/>
        </w:rPr>
        <w:t>iкр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коэффициент наличия зданий детских школ искусств, требующих капитального ремонта, в i-м муниципальном образовании, который определяется по формуле: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noProof/>
          <w:position w:val="-26"/>
          <w:sz w:val="24"/>
          <w:szCs w:val="24"/>
          <w:lang w:eastAsia="ru-RU"/>
        </w:rPr>
        <w:drawing>
          <wp:inline distT="0" distB="0" distL="0" distR="0">
            <wp:extent cx="762000" cy="472440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где: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Р</w:t>
      </w:r>
      <w:r w:rsidRPr="00ED2B0A">
        <w:rPr>
          <w:rFonts w:ascii="Times New Roman" w:hAnsi="Times New Roman" w:cs="Times New Roman"/>
          <w:sz w:val="24"/>
          <w:szCs w:val="24"/>
          <w:vertAlign w:val="subscript"/>
        </w:rPr>
        <w:t>i1</w:t>
      </w:r>
      <w:r w:rsidRPr="00ED2B0A">
        <w:rPr>
          <w:rFonts w:ascii="Times New Roman" w:hAnsi="Times New Roman" w:cs="Times New Roman"/>
          <w:sz w:val="24"/>
          <w:szCs w:val="24"/>
        </w:rPr>
        <w:t xml:space="preserve"> - количество зданий детских школ искусств, требующих капитального ремонта, по данным федерального статистического наблюдения на последнюю отчетную дату, в i-м муниципальном образовании;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P</w:t>
      </w:r>
      <w:r w:rsidRPr="00ED2B0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D2B0A">
        <w:rPr>
          <w:rFonts w:ascii="Times New Roman" w:hAnsi="Times New Roman" w:cs="Times New Roman"/>
          <w:sz w:val="24"/>
          <w:szCs w:val="24"/>
        </w:rPr>
        <w:t xml:space="preserve"> - общее количество зданий детских школ искусств, требующих капитального ремонта, по данным федерального статистического наблюдения на последнюю отчетную дату, в муниципальных образований, заявки которых соответствуют </w:t>
      </w:r>
      <w:hyperlink r:id="rId36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критериям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отбора муниципальных образований для предоставления субсидии, приведенным в приложении к настоящим Правилам;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K</w:t>
      </w:r>
      <w:r w:rsidRPr="00ED2B0A">
        <w:rPr>
          <w:rFonts w:ascii="Times New Roman" w:hAnsi="Times New Roman" w:cs="Times New Roman"/>
          <w:sz w:val="24"/>
          <w:szCs w:val="24"/>
          <w:vertAlign w:val="subscript"/>
        </w:rPr>
        <w:t>iав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коэффициент наличия зданий детских школ искусств, находящихся в аварийном состоянии, в i-м муниципальном образовании, который определяется по формуле: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noProof/>
          <w:position w:val="-26"/>
          <w:sz w:val="24"/>
          <w:szCs w:val="24"/>
          <w:lang w:eastAsia="ru-RU"/>
        </w:rPr>
        <w:drawing>
          <wp:inline distT="0" distB="0" distL="0" distR="0">
            <wp:extent cx="762000" cy="47244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где: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Р</w:t>
      </w:r>
      <w:r w:rsidRPr="00ED2B0A">
        <w:rPr>
          <w:rFonts w:ascii="Times New Roman" w:hAnsi="Times New Roman" w:cs="Times New Roman"/>
          <w:sz w:val="24"/>
          <w:szCs w:val="24"/>
          <w:vertAlign w:val="subscript"/>
        </w:rPr>
        <w:t>i2</w:t>
      </w:r>
      <w:r w:rsidRPr="00ED2B0A">
        <w:rPr>
          <w:rFonts w:ascii="Times New Roman" w:hAnsi="Times New Roman" w:cs="Times New Roman"/>
          <w:sz w:val="24"/>
          <w:szCs w:val="24"/>
        </w:rPr>
        <w:t xml:space="preserve"> - количество зданий детских школ искусств, находящихся в аварийном состоянии, в i-м муниципальном образовании, по данным федерального статистического наблюдения на последнюю отчетную дату;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Р</w:t>
      </w:r>
      <w:r w:rsidRPr="00ED2B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D2B0A">
        <w:rPr>
          <w:rFonts w:ascii="Times New Roman" w:hAnsi="Times New Roman" w:cs="Times New Roman"/>
          <w:sz w:val="24"/>
          <w:szCs w:val="24"/>
        </w:rPr>
        <w:t xml:space="preserve"> - общее количество зданий детских школ искусств, находящихся в аварийном состоянии, по данным федерального статистического наблюдения на последнюю отчетную дату, в муниципальных образованиях, заявки которых соответствуют </w:t>
      </w:r>
      <w:hyperlink r:id="rId38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критериям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отбора муниципальных образований для предоставления субсидии, приведенным в приложении к настоящим Правилам.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Общий размер субсидии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на модернизацию детских школ искусств определяется путем отбора в несколько этапов.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На первом этапе Министерством культуры Российской Федерации осуществляется расчет в соответствии с ранжированием в отношении модернизации детских школ искусств, являющихся приоритетными (первыми) и указанных в заявке Кабардино-Балкарской Республики, прошедших отбор.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При направлении заявок в Министерство культуры Кабардино-Балкарской Республики муниципальное образование устанавливает приоритетность детских школ искусств, а также определяет соответствующий вид работ (реконструкция, капитальный ремонт) по каждой детской школе искусств, включенной в заявку.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Размер субсидии, предоставляемой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местному бюджету на реализацию мероприятий по модернизации приоритетного j-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объекта муниципальной программы в рамках прошедшей отбор заявки (V6ij), определяется по формуле: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noProof/>
          <w:position w:val="-22"/>
          <w:sz w:val="24"/>
          <w:szCs w:val="24"/>
          <w:lang w:eastAsia="ru-RU"/>
        </w:rPr>
        <w:drawing>
          <wp:inline distT="0" distB="0" distL="0" distR="0">
            <wp:extent cx="1143000" cy="4267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где: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Zij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стоимость модернизации объекта путем капитального ремонта и (или) реконструкции j-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здания ДШИ из числа объектов, указанных в прошедшей отбор заявке, устанавливаемая в соответствии со сметой расходов на капитальный ремонт и (или) проектно-сметной документацией, прошедшей государственную экспертизу;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B0A">
        <w:rPr>
          <w:rFonts w:ascii="Times New Roman" w:hAnsi="Times New Roman" w:cs="Times New Roman"/>
          <w:sz w:val="24"/>
          <w:szCs w:val="24"/>
        </w:rPr>
        <w:t>Yi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- предельный уровень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расходного обязательства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местного бюджета.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На втором и последующих этапах Министерством культуры Российской Федерации расчет размера субсидии применяется в случае, если в результате распределения субсидии на предыдущем этапе образовался нераспределенный остаток субсидии. В этом случае расчет субсидии производится в соответствии с ранжированием по второй и последующей детской школе искусств, указанных в заявке Кабардино-Балкарской Республики, прошедших отбор.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Общий размер субсидии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в целях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по модернизации детских школ искусств (V6) определяется по формуле: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noProof/>
          <w:position w:val="-15"/>
          <w:sz w:val="24"/>
          <w:szCs w:val="24"/>
          <w:lang w:eastAsia="ru-RU"/>
        </w:rPr>
        <w:drawing>
          <wp:inline distT="0" distB="0" distL="0" distR="0">
            <wp:extent cx="1036320" cy="3352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где: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n - общее количество детских школ искусств, указанных в заявке, прошедшей отбор;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j - порядковый номер детской школы искусств в рамках прошедшей отбор заявки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гo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при этом j = l...n;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V6</w:t>
      </w:r>
      <w:r w:rsidRPr="00ED2B0A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r w:rsidRPr="00ED2B0A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i-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целях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муниципального образования по модернизации j-й детской школы искусств в рамках прошедшей отбор заявки.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29. Субсидия предоставляется местному бюджету в соответствии с соглашением, подготавливаемым (формируемым) и заключаемым с использованием государственной интегрированной информационной системы управления общественными финансами "Электронный бюджет" (далее - система "Электронный бюджет") в соответствии с типовой формой соглашения, утвержденной Министерством финансов Российской Федерации.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1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Правительства КБР от 21.02.2022 N 30-ПП)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30. Утратил силу. - </w:t>
      </w:r>
      <w:hyperlink r:id="rId42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Правительства КБР от 21.02.2022 N 30-ПП.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31. Показателями результативности использования субсидий, предоставляемым в целях </w:t>
      </w:r>
      <w:proofErr w:type="spellStart"/>
      <w:r w:rsidRPr="00ED2B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D2B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образований, возникающих при реализации мероприятий муниципальных программ, указанным: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18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подпункте "а" пункта 3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настоящих Правил является количество оснащенных образовательных учреждений в сфере культуры (детских школ искусств) музыкальными инструментами, оборудованием и учебными материалами;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22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подпункте "б" пункта 3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настоящих Правил является количество лучших работников сельских учреждений культуры, которым оказана государственная поддержка в виде денежного поощрения;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23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подпункте "в" пункта 3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настоящих Правил является количество лучших сельских учреждений культуры, которым оказана государственная поддержка в виде денежного поощрения;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24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подпункте "г" пункта 3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настоящих Правил является количество приобретенных передвижных многофункциональных культурных центров (автоклубов) для обслуживания сельского населения муниципальных образований;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абзац утратил силу. - </w:t>
      </w:r>
      <w:hyperlink r:id="rId43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Правительства КБР от 21.02.2022 N 30-ПП;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26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подпункте "е" пункта 3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настоящих Правил является количество реконструированных и (или) капитально отремонтированных региональных и муниципальных детских школ искусств по видам искусств;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27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подпункте "ж" пункта 3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настоящих Правил является количество посещений организаций культуры по отношению к уровню 2019 года (в части посещений библиотек).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44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Правительства КБР от 20.10.2021 N 214-ПП)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32. Перечисление субсидий осуществляется в установленном порядке на единые счета бюджетов, открытые финансовым органом муниципальных образований в территориальных органах федерального казначейства.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(п. 32 в ред. </w:t>
      </w:r>
      <w:hyperlink r:id="rId45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Правительства КБР от 20.10.2021 N 214-ПП)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32-1. Утратил силу. - </w:t>
      </w:r>
      <w:hyperlink r:id="rId46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Правительства КБР от 21.02.2022 N 30-ПП.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33. Ответственность за достоверность представляемых в Министерство культуры Кабардино-Балкарской Республики сведений возлагается на местную администрацию муниципального образования.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34. Порядок и условия возврата средств из местного бюджета в республиканский бюджет Кабардино-Балкарской Республики в случае нарушения обязательств муниципального образования по достижению значений результатов использования субсидии, предусмотренных соглашением, а также основания для освобождения муниципального образования от применения мер финансовой ответственности предусмотрены </w:t>
      </w:r>
      <w:hyperlink r:id="rId47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пунктами 16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- </w:t>
      </w:r>
      <w:hyperlink r:id="rId48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 из республиканского бюджета Кабардино-Балкарской Республики бюджетам муниципальных образований, утвержденных постановлением Правительства Кабардино-Балкарской Республики от 29 декабря 2014 г. N 308-ПП "О формировании, предоставлении и распределении субсидий из республиканского бюджета Кабардино-Балкарской Республики бюджетам муниципальных образований".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34-1. В случае нарушения муниципальным образованием целей, установленных при предоставлении субсидии, к нему применяются бюджетные меры принуждения в соответствии с бюджетным законодательством Российской Федерации.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 xml:space="preserve">(п. 34.1 введен </w:t>
      </w:r>
      <w:hyperlink r:id="rId49" w:history="1">
        <w:r w:rsidRPr="00ED2B0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ED2B0A">
        <w:rPr>
          <w:rFonts w:ascii="Times New Roman" w:hAnsi="Times New Roman" w:cs="Times New Roman"/>
          <w:sz w:val="24"/>
          <w:szCs w:val="24"/>
        </w:rPr>
        <w:t xml:space="preserve"> Правительства КБР от 21.02.2022 N 30-ПП)</w:t>
      </w:r>
    </w:p>
    <w:p w:rsidR="00011F15" w:rsidRPr="00ED2B0A" w:rsidRDefault="00011F15" w:rsidP="00011F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B0A">
        <w:rPr>
          <w:rFonts w:ascii="Times New Roman" w:hAnsi="Times New Roman" w:cs="Times New Roman"/>
          <w:sz w:val="24"/>
          <w:szCs w:val="24"/>
        </w:rPr>
        <w:t>35. Контроль за соблюдением муниципальными образованиями условий предоставления субсидий осуществляется Министерством культуры Кабардино-Балкарской Республики и органами финансового контроля.</w:t>
      </w:r>
    </w:p>
    <w:p w:rsidR="00011F15" w:rsidRPr="00ED2B0A" w:rsidRDefault="00011F15" w:rsidP="00011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11F15" w:rsidRPr="00ED2B0A" w:rsidSect="00011F15">
      <w:pgSz w:w="11905" w:h="16838"/>
      <w:pgMar w:top="426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F15"/>
    <w:rsid w:val="00011F15"/>
    <w:rsid w:val="009A6D81"/>
    <w:rsid w:val="00E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153D8D-1120-4A32-951F-8AA5EEE96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852F40B80DB40C74BA7A53FA3327222CC9775093E1E509596D9703CF53E53A1926883200443CD3F19F857439EA7F74110C832A841FB5BADE35F9AZ2R2J" TargetMode="Externa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9" Type="http://schemas.openxmlformats.org/officeDocument/2006/relationships/image" Target="media/image13.wmf"/><Relationship Id="rId21" Type="http://schemas.openxmlformats.org/officeDocument/2006/relationships/image" Target="media/image3.wmf"/><Relationship Id="rId34" Type="http://schemas.openxmlformats.org/officeDocument/2006/relationships/image" Target="media/image10.wmf"/><Relationship Id="rId42" Type="http://schemas.openxmlformats.org/officeDocument/2006/relationships/hyperlink" Target="consultantplus://offline/ref=E852F40B80DB40C74BA7A53FA3327222CC9775093E1A5F9291D9703CF53E53A1926883200443CD3F19F9514E9EA7F74110C832A841FB5BADE35F9AZ2R2J" TargetMode="External"/><Relationship Id="rId47" Type="http://schemas.openxmlformats.org/officeDocument/2006/relationships/hyperlink" Target="consultantplus://offline/ref=E852F40B80DB40C74BA7A53FA3327222CC977509331A5B9396D9703CF53E53A1926883200443CD3F1BF151459EA7F74110C832A841FB5BADE35F9AZ2R2J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E852F40B80DB40C74BA7A53FA3327222CC9775093E1A5F9291D9703CF53E53A1926883200443CD3F19F951459EA7F74110C832A841FB5BADE35F9AZ2R2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852F40B80DB40C74BA7A53FA3327222CC9775093E1A5F9291D9703CF53E53A1926883200443CD3F19F951419EA7F74110C832A841FB5BADE35F9AZ2R2J" TargetMode="External"/><Relationship Id="rId29" Type="http://schemas.openxmlformats.org/officeDocument/2006/relationships/hyperlink" Target="consultantplus://offline/ref=E852F40B80DB40C74BA7A53FA3327222CC9775093E1A5F9291D9703CF53E53A1926883200443CD3F19F951409EA7F74110C832A841FB5BADE35F9AZ2R2J" TargetMode="External"/><Relationship Id="rId11" Type="http://schemas.openxmlformats.org/officeDocument/2006/relationships/hyperlink" Target="consultantplus://offline/ref=E852F40B80DB40C74BA7BB32B55E2F2FCC9E2E013F1D53C6CC862B61A23759F6D527DA644146C76B4AB5024A94F1B80445DB31AA5DZFR8J" TargetMode="External"/><Relationship Id="rId24" Type="http://schemas.openxmlformats.org/officeDocument/2006/relationships/image" Target="media/image4.wmf"/><Relationship Id="rId32" Type="http://schemas.openxmlformats.org/officeDocument/2006/relationships/image" Target="media/image9.wmf"/><Relationship Id="rId37" Type="http://schemas.openxmlformats.org/officeDocument/2006/relationships/image" Target="media/image12.wmf"/><Relationship Id="rId40" Type="http://schemas.openxmlformats.org/officeDocument/2006/relationships/image" Target="media/image14.wmf"/><Relationship Id="rId45" Type="http://schemas.openxmlformats.org/officeDocument/2006/relationships/hyperlink" Target="consultantplus://offline/ref=E852F40B80DB40C74BA7A53FA3327222CC9775093E1E509596D9703CF53E53A1926883200443CD3F19F854429EA7F74110C832A841FB5BADE35F9AZ2R2J" TargetMode="External"/><Relationship Id="rId5" Type="http://schemas.openxmlformats.org/officeDocument/2006/relationships/hyperlink" Target="consultantplus://offline/ref=E852F40B80DB40C74BA7A53FA3327222CC9775093E1E509596D9703CF53E53A1926883200443CD3F19F95E4E9EA7F74110C832A841FB5BADE35F9AZ2R2J" TargetMode="External"/><Relationship Id="rId15" Type="http://schemas.openxmlformats.org/officeDocument/2006/relationships/hyperlink" Target="consultantplus://offline/ref=E852F40B80DB40C74BA7A53FA3327222CC9775093E1A5F9291D9703CF53E53A1926883200443CD3F19F951439EA7F74110C832A841FB5BADE35F9AZ2R2J" TargetMode="External"/><Relationship Id="rId23" Type="http://schemas.openxmlformats.org/officeDocument/2006/relationships/hyperlink" Target="consultantplus://offline/ref=E852F40B80DB40C74BA7BB32B55E2F2FCC9C2203351B53C6CC862B61A23759F6C727826E414CD23E1BEF554797ZFR1J" TargetMode="External"/><Relationship Id="rId28" Type="http://schemas.openxmlformats.org/officeDocument/2006/relationships/hyperlink" Target="consultantplus://offline/ref=E852F40B80DB40C74BA7BB32B55E2F2FCC9E2A0C311853C6CC862B61A23759F6D527DA624149CD344FA0131298F2A41B44C52DA85FF8Z5R9J" TargetMode="External"/><Relationship Id="rId36" Type="http://schemas.openxmlformats.org/officeDocument/2006/relationships/hyperlink" Target="consultantplus://offline/ref=E852F40B80DB40C74BA7A53FA3327222CC9775093F1C5D9899D9703CF53E53A1926883200443CD3F13F350459EA7F74110C832A841FB5BADE35F9AZ2R2J" TargetMode="External"/><Relationship Id="rId49" Type="http://schemas.openxmlformats.org/officeDocument/2006/relationships/hyperlink" Target="consultantplus://offline/ref=E852F40B80DB40C74BA7A53FA3327222CC9775093E1A5F9291D9703CF53E53A1926883200443CD3F19F950479EA7F74110C832A841FB5BADE35F9AZ2R2J" TargetMode="External"/><Relationship Id="rId10" Type="http://schemas.openxmlformats.org/officeDocument/2006/relationships/hyperlink" Target="consultantplus://offline/ref=E852F40B80DB40C74BA7A53FA3327222CC9775093E1E509596D9703CF53E53A1926883200443CD3F19F857459EA7F74110C832A841FB5BADE35F9AZ2R2J" TargetMode="External"/><Relationship Id="rId19" Type="http://schemas.openxmlformats.org/officeDocument/2006/relationships/image" Target="media/image2.wmf"/><Relationship Id="rId31" Type="http://schemas.openxmlformats.org/officeDocument/2006/relationships/image" Target="media/image8.wmf"/><Relationship Id="rId44" Type="http://schemas.openxmlformats.org/officeDocument/2006/relationships/hyperlink" Target="consultantplus://offline/ref=E852F40B80DB40C74BA7A53FA3327222CC9775093E1E509596D9703CF53E53A1926883200443CD3F19F854449EA7F74110C832A841FB5BADE35F9AZ2R2J" TargetMode="External"/><Relationship Id="rId4" Type="http://schemas.openxmlformats.org/officeDocument/2006/relationships/hyperlink" Target="consultantplus://offline/ref=E852F40B80DB40C74BA7A53FA3327222CC97750931155D9591D9703CF53E53A1926883200443CD3F18F252409EA7F74110C832A841FB5BADE35F9AZ2R2J" TargetMode="External"/><Relationship Id="rId9" Type="http://schemas.openxmlformats.org/officeDocument/2006/relationships/hyperlink" Target="consultantplus://offline/ref=E852F40B80DB40C74BA7A53FA3327222CC9775093E1E509596D9703CF53E53A1926883200443CD3F19F857479EA7F74110C832A841FB5BADE35F9AZ2R2J" TargetMode="External"/><Relationship Id="rId14" Type="http://schemas.openxmlformats.org/officeDocument/2006/relationships/hyperlink" Target="consultantplus://offline/ref=E852F40B80DB40C74BA7A53FA3327222CC9775093E1E509596D9703CF53E53A1926883200443CD3F19F857429EA7F74110C832A841FB5BADE35F9AZ2R2J" TargetMode="External"/><Relationship Id="rId22" Type="http://schemas.openxmlformats.org/officeDocument/2006/relationships/hyperlink" Target="consultantplus://offline/ref=E852F40B80DB40C74BA7BB32B55E2F2FCC9C2203351B53C6CC862B61A23759F6C727826E414CD23E1BEF554797ZFR1J" TargetMode="External"/><Relationship Id="rId27" Type="http://schemas.openxmlformats.org/officeDocument/2006/relationships/image" Target="media/image6.wmf"/><Relationship Id="rId30" Type="http://schemas.openxmlformats.org/officeDocument/2006/relationships/image" Target="media/image7.wmf"/><Relationship Id="rId35" Type="http://schemas.openxmlformats.org/officeDocument/2006/relationships/image" Target="media/image11.wmf"/><Relationship Id="rId43" Type="http://schemas.openxmlformats.org/officeDocument/2006/relationships/hyperlink" Target="consultantplus://offline/ref=E852F40B80DB40C74BA7A53FA3327222CC9775093E1A5F9291D9703CF53E53A1926883200443CD3F19F9514E9EA7F74110C832A841FB5BADE35F9AZ2R2J" TargetMode="External"/><Relationship Id="rId48" Type="http://schemas.openxmlformats.org/officeDocument/2006/relationships/hyperlink" Target="consultantplus://offline/ref=E852F40B80DB40C74BA7A53FA3327222CC977509331A5B9396D9703CF53E53A1926883200443CD3F1BF055409EA7F74110C832A841FB5BADE35F9AZ2R2J" TargetMode="External"/><Relationship Id="rId8" Type="http://schemas.openxmlformats.org/officeDocument/2006/relationships/hyperlink" Target="consultantplus://offline/ref=E852F40B80DB40C74BA7A53FA3327222CC9775093E1A5F9291D9703CF53E53A1926883200443CD3F19F951459EA7F74110C832A841FB5BADE35F9AZ2R2J" TargetMode="External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E852F40B80DB40C74BA7BB32B55E2F2FCC9E2E013F1D53C6CC862B61A23759F6D527DA644146C76B4AB5024A94F1B80445DB31AA5DZFR8J" TargetMode="External"/><Relationship Id="rId17" Type="http://schemas.openxmlformats.org/officeDocument/2006/relationships/hyperlink" Target="consultantplus://offline/ref=E852F40B80DB40C74BA7A53FA3327222CC9775093E1E509596D9703CF53E53A1926883200443CD3F19F8574E9EA7F74110C832A841FB5BADE35F9AZ2R2J" TargetMode="External"/><Relationship Id="rId25" Type="http://schemas.openxmlformats.org/officeDocument/2006/relationships/hyperlink" Target="consultantplus://offline/ref=E852F40B80DB40C74BA7BB32B55E2F2FCC9C2203351B53C6CC862B61A23759F6C727826E414CD23E1BEF554797ZFR1J" TargetMode="External"/><Relationship Id="rId33" Type="http://schemas.openxmlformats.org/officeDocument/2006/relationships/hyperlink" Target="consultantplus://offline/ref=E852F40B80DB40C74BA7A53FA3327222CC9775093E1E509596D9703CF53E53A1926883200443CD3F19F856469EA7F74110C832A841FB5BADE35F9AZ2R2J" TargetMode="External"/><Relationship Id="rId38" Type="http://schemas.openxmlformats.org/officeDocument/2006/relationships/hyperlink" Target="consultantplus://offline/ref=E852F40B80DB40C74BA7A53FA3327222CC9775093F1C5D9899D9703CF53E53A1926883200443CD3F13F350459EA7F74110C832A841FB5BADE35F9AZ2R2J" TargetMode="External"/><Relationship Id="rId46" Type="http://schemas.openxmlformats.org/officeDocument/2006/relationships/hyperlink" Target="consultantplus://offline/ref=E852F40B80DB40C74BA7A53FA3327222CC9775093E1A5F9291D9703CF53E53A1926883200443CD3F19F9514E9EA7F74110C832A841FB5BADE35F9AZ2R2J" TargetMode="External"/><Relationship Id="rId20" Type="http://schemas.openxmlformats.org/officeDocument/2006/relationships/hyperlink" Target="consultantplus://offline/ref=E852F40B80DB40C74BA7BB32B55E2F2FCC9C2203351B53C6CC862B61A23759F6C727826E414CD23E1BEF554797ZFR1J" TargetMode="External"/><Relationship Id="rId41" Type="http://schemas.openxmlformats.org/officeDocument/2006/relationships/hyperlink" Target="consultantplus://offline/ref=E852F40B80DB40C74BA7A53FA3327222CC9775093E1A5F9291D9703CF53E53A1926883200443CD3F19F9514F9EA7F74110C832A841FB5BADE35F9AZ2R2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852F40B80DB40C74BA7A53FA3327222CC9775093E1A5F9291D9703CF53E53A1926883200443CD3F19F951469EA7F74110C832A841FB5BADE35F9AZ2R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5481</Words>
  <Characters>31244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 Созаева Жанна 127</dc:creator>
  <cp:keywords/>
  <dc:description/>
  <cp:lastModifiedBy>МБУ Казакова Фатима 124</cp:lastModifiedBy>
  <cp:revision>2</cp:revision>
  <dcterms:created xsi:type="dcterms:W3CDTF">2022-10-12T09:01:00Z</dcterms:created>
  <dcterms:modified xsi:type="dcterms:W3CDTF">2022-10-16T10:49:00Z</dcterms:modified>
</cp:coreProperties>
</file>